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2556B8">
        <w:rPr>
          <w:rFonts w:ascii="Arial" w:hAnsi="Arial" w:cs="Arial"/>
          <w:sz w:val="20"/>
          <w:szCs w:val="22"/>
        </w:rPr>
        <w:t>4</w:t>
      </w:r>
      <w:bookmarkStart w:id="0" w:name="_GoBack"/>
      <w:bookmarkEnd w:id="0"/>
      <w:r w:rsidR="006A5C12">
        <w:rPr>
          <w:rFonts w:ascii="Arial" w:hAnsi="Arial" w:cs="Arial"/>
          <w:sz w:val="20"/>
          <w:szCs w:val="22"/>
        </w:rPr>
        <w:t xml:space="preserve"> </w:t>
      </w:r>
      <w:r w:rsidRPr="006E2DDD">
        <w:rPr>
          <w:rFonts w:ascii="Arial" w:hAnsi="Arial" w:cs="Arial"/>
          <w:sz w:val="20"/>
          <w:szCs w:val="22"/>
        </w:rPr>
        <w:t>к протоколу</w:t>
      </w:r>
    </w:p>
    <w:p w:rsidR="00754403" w:rsidRPr="006E2DDD" w:rsidRDefault="00C210F1" w:rsidP="00754403">
      <w:pPr>
        <w:ind w:left="5400" w:firstLine="5400"/>
        <w:rPr>
          <w:rFonts w:ascii="Arial" w:hAnsi="Arial" w:cs="Arial"/>
          <w:sz w:val="20"/>
          <w:szCs w:val="22"/>
        </w:rPr>
      </w:pPr>
      <w:r>
        <w:rPr>
          <w:rFonts w:ascii="Arial" w:hAnsi="Arial" w:cs="Arial"/>
          <w:sz w:val="20"/>
          <w:szCs w:val="22"/>
        </w:rPr>
        <w:t xml:space="preserve">НТКН </w:t>
      </w:r>
      <w:r w:rsidR="00754403" w:rsidRPr="006E2DDD">
        <w:rPr>
          <w:rFonts w:ascii="Arial" w:hAnsi="Arial" w:cs="Arial"/>
          <w:sz w:val="20"/>
          <w:szCs w:val="22"/>
        </w:rPr>
        <w:t xml:space="preserve">№ </w:t>
      </w:r>
      <w:r w:rsidR="00062FC5">
        <w:rPr>
          <w:rFonts w:ascii="Arial" w:hAnsi="Arial" w:cs="Arial"/>
          <w:sz w:val="20"/>
          <w:szCs w:val="22"/>
        </w:rPr>
        <w:t>24</w:t>
      </w:r>
      <w:r w:rsidR="00754403" w:rsidRPr="006E2DDD">
        <w:rPr>
          <w:rFonts w:ascii="Arial" w:hAnsi="Arial" w:cs="Arial"/>
          <w:sz w:val="20"/>
          <w:szCs w:val="22"/>
        </w:rPr>
        <w:t>-201</w:t>
      </w:r>
      <w:r w:rsidR="00CA7DC6">
        <w:rPr>
          <w:rFonts w:ascii="Arial" w:hAnsi="Arial" w:cs="Arial"/>
          <w:sz w:val="20"/>
          <w:szCs w:val="22"/>
        </w:rPr>
        <w:t>8</w:t>
      </w:r>
    </w:p>
    <w:p w:rsidR="00E86CB4" w:rsidRPr="00A16984" w:rsidRDefault="00E86CB4" w:rsidP="00E86CB4">
      <w:pPr>
        <w:ind w:right="43" w:firstLine="426"/>
        <w:jc w:val="center"/>
        <w:rPr>
          <w:rFonts w:ascii="Arial" w:hAnsi="Arial" w:cs="Arial"/>
          <w:b/>
        </w:rPr>
      </w:pPr>
      <w:r w:rsidRPr="00A16984">
        <w:rPr>
          <w:rFonts w:ascii="Arial" w:hAnsi="Arial" w:cs="Arial"/>
          <w:b/>
        </w:rPr>
        <w:t>ПЛАНДЕЙСТВИЙ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4"/>
        <w:gridCol w:w="5080"/>
        <w:gridCol w:w="1619"/>
        <w:gridCol w:w="1767"/>
        <w:gridCol w:w="5800"/>
        <w:gridCol w:w="46"/>
      </w:tblGrid>
      <w:tr w:rsidR="00E86CB4" w:rsidRPr="00A16984" w:rsidTr="00D84548">
        <w:trPr>
          <w:tblHeader/>
        </w:trPr>
        <w:tc>
          <w:tcPr>
            <w:tcW w:w="854"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8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D84548">
        <w:tblPrEx>
          <w:tblLook w:val="0000" w:firstRow="0" w:lastRow="0" w:firstColumn="0" w:lastColumn="0" w:noHBand="0" w:noVBand="0"/>
        </w:tblPrEx>
        <w:trPr>
          <w:cantSplit/>
          <w:trHeight w:val="342"/>
        </w:trPr>
        <w:tc>
          <w:tcPr>
            <w:tcW w:w="15166" w:type="dxa"/>
            <w:gridSpan w:val="6"/>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D84548" w:rsidRPr="00D23A20" w:rsidTr="00D84548">
        <w:tblPrEx>
          <w:tblLook w:val="0000" w:firstRow="0" w:lastRow="0" w:firstColumn="0" w:lastColumn="0" w:noHBand="0" w:noVBand="0"/>
        </w:tblPrEx>
        <w:trPr>
          <w:gridAfter w:val="1"/>
          <w:wAfter w:w="46" w:type="dxa"/>
          <w:cantSplit/>
          <w:trHeight w:val="271"/>
        </w:trPr>
        <w:tc>
          <w:tcPr>
            <w:tcW w:w="15120" w:type="dxa"/>
            <w:gridSpan w:val="5"/>
          </w:tcPr>
          <w:p w:rsidR="00D84548" w:rsidRPr="00D23A20" w:rsidRDefault="00D84548" w:rsidP="00FA19B4">
            <w:pPr>
              <w:pStyle w:val="31"/>
              <w:ind w:firstLine="32"/>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2306FD" w:rsidRPr="00A16984" w:rsidTr="00D84548">
        <w:tblPrEx>
          <w:tblLook w:val="0000" w:firstRow="0" w:lastRow="0" w:firstColumn="0" w:lastColumn="0" w:noHBand="0" w:noVBand="0"/>
        </w:tblPrEx>
        <w:trPr>
          <w:gridAfter w:val="1"/>
          <w:wAfter w:w="46" w:type="dxa"/>
          <w:cantSplit/>
          <w:trHeight w:val="348"/>
        </w:trPr>
        <w:tc>
          <w:tcPr>
            <w:tcW w:w="854" w:type="dxa"/>
          </w:tcPr>
          <w:p w:rsidR="002306FD" w:rsidRPr="00A16984" w:rsidRDefault="002306FD" w:rsidP="005914F5">
            <w:pPr>
              <w:tabs>
                <w:tab w:val="left" w:pos="6024"/>
              </w:tabs>
              <w:jc w:val="both"/>
              <w:rPr>
                <w:rFonts w:ascii="Arial" w:hAnsi="Arial" w:cs="Arial"/>
                <w:sz w:val="20"/>
              </w:rPr>
            </w:pPr>
            <w:r w:rsidRPr="00A16984">
              <w:rPr>
                <w:rFonts w:ascii="Arial" w:hAnsi="Arial" w:cs="Arial"/>
                <w:sz w:val="20"/>
              </w:rPr>
              <w:t>7.1</w:t>
            </w:r>
          </w:p>
        </w:tc>
        <w:tc>
          <w:tcPr>
            <w:tcW w:w="5080" w:type="dxa"/>
          </w:tcPr>
          <w:p w:rsidR="002306FD" w:rsidRPr="003567CE" w:rsidRDefault="002306FD" w:rsidP="005914F5">
            <w:pPr>
              <w:tabs>
                <w:tab w:val="left" w:pos="6024"/>
              </w:tabs>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tcPr>
          <w:p w:rsidR="002306FD" w:rsidRPr="003567CE" w:rsidRDefault="002306FD"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306FD" w:rsidRPr="003567CE" w:rsidRDefault="002306FD" w:rsidP="005914F5">
            <w:pPr>
              <w:rPr>
                <w:rFonts w:ascii="Arial" w:hAnsi="Arial" w:cs="Arial"/>
                <w:sz w:val="20"/>
              </w:rPr>
            </w:pPr>
            <w:r w:rsidRPr="003567CE">
              <w:rPr>
                <w:rFonts w:ascii="Arial" w:hAnsi="Arial" w:cs="Arial"/>
                <w:sz w:val="20"/>
              </w:rPr>
              <w:t>Национальные органы</w:t>
            </w:r>
          </w:p>
        </w:tc>
        <w:tc>
          <w:tcPr>
            <w:tcW w:w="5800" w:type="dxa"/>
            <w:vMerge w:val="restart"/>
          </w:tcPr>
          <w:p w:rsidR="002306FD" w:rsidRPr="00A16984" w:rsidRDefault="002306FD" w:rsidP="002306FD">
            <w:pPr>
              <w:pStyle w:val="31"/>
              <w:ind w:firstLine="0"/>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2306FD" w:rsidRPr="00A16984" w:rsidRDefault="002306FD" w:rsidP="005914F5">
            <w:pPr>
              <w:tabs>
                <w:tab w:val="left" w:pos="6024"/>
              </w:tabs>
              <w:jc w:val="both"/>
              <w:rPr>
                <w:rFonts w:ascii="Arial" w:hAnsi="Arial" w:cs="Arial"/>
                <w:sz w:val="18"/>
                <w:szCs w:val="18"/>
              </w:rPr>
            </w:pPr>
          </w:p>
        </w:tc>
      </w:tr>
      <w:tr w:rsidR="002306FD" w:rsidRPr="00A16984" w:rsidTr="00D84548">
        <w:tblPrEx>
          <w:tblLook w:val="0000" w:firstRow="0" w:lastRow="0" w:firstColumn="0" w:lastColumn="0" w:noHBand="0" w:noVBand="0"/>
        </w:tblPrEx>
        <w:trPr>
          <w:gridAfter w:val="1"/>
          <w:wAfter w:w="46" w:type="dxa"/>
          <w:cantSplit/>
          <w:trHeight w:val="348"/>
        </w:trPr>
        <w:tc>
          <w:tcPr>
            <w:tcW w:w="854" w:type="dxa"/>
          </w:tcPr>
          <w:p w:rsidR="002306FD" w:rsidRPr="00A16984" w:rsidRDefault="002306FD" w:rsidP="005914F5">
            <w:pPr>
              <w:tabs>
                <w:tab w:val="left" w:pos="6024"/>
              </w:tabs>
              <w:jc w:val="both"/>
              <w:rPr>
                <w:rFonts w:ascii="Arial" w:hAnsi="Arial" w:cs="Arial"/>
                <w:sz w:val="20"/>
              </w:rPr>
            </w:pPr>
            <w:r w:rsidRPr="00A16984">
              <w:rPr>
                <w:rFonts w:ascii="Arial" w:hAnsi="Arial" w:cs="Arial"/>
                <w:sz w:val="20"/>
              </w:rPr>
              <w:t>7.2.</w:t>
            </w:r>
          </w:p>
        </w:tc>
        <w:tc>
          <w:tcPr>
            <w:tcW w:w="5080" w:type="dxa"/>
          </w:tcPr>
          <w:p w:rsidR="002306FD" w:rsidRPr="003567CE" w:rsidRDefault="002306FD" w:rsidP="009728D9">
            <w:pPr>
              <w:tabs>
                <w:tab w:val="left" w:pos="6024"/>
              </w:tabs>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tcPr>
          <w:p w:rsidR="002306FD" w:rsidRPr="003567CE" w:rsidRDefault="002306FD"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306FD" w:rsidRPr="003567CE" w:rsidRDefault="002306FD" w:rsidP="005914F5">
            <w:pPr>
              <w:rPr>
                <w:rFonts w:ascii="Arial" w:hAnsi="Arial" w:cs="Arial"/>
                <w:sz w:val="20"/>
              </w:rPr>
            </w:pPr>
            <w:r w:rsidRPr="003567CE">
              <w:rPr>
                <w:rFonts w:ascii="Arial" w:hAnsi="Arial" w:cs="Arial"/>
                <w:sz w:val="20"/>
              </w:rPr>
              <w:t>Национальные органы</w:t>
            </w:r>
          </w:p>
        </w:tc>
        <w:tc>
          <w:tcPr>
            <w:tcW w:w="5800" w:type="dxa"/>
            <w:vMerge/>
          </w:tcPr>
          <w:p w:rsidR="002306FD" w:rsidRPr="00A16984" w:rsidRDefault="002306FD" w:rsidP="005914F5">
            <w:pPr>
              <w:tabs>
                <w:tab w:val="left" w:pos="6024"/>
              </w:tabs>
              <w:jc w:val="both"/>
              <w:rPr>
                <w:rFonts w:ascii="Arial" w:hAnsi="Arial" w:cs="Arial"/>
                <w:sz w:val="18"/>
                <w:szCs w:val="18"/>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7.3.</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2306FD" w:rsidRPr="008C341D" w:rsidRDefault="002306FD" w:rsidP="002306FD">
            <w:pPr>
              <w:tabs>
                <w:tab w:val="left" w:pos="720"/>
              </w:tabs>
              <w:jc w:val="both"/>
              <w:rPr>
                <w:rFonts w:ascii="Arial" w:hAnsi="Arial" w:cs="Arial"/>
                <w:sz w:val="20"/>
              </w:rPr>
            </w:pPr>
            <w:r w:rsidRPr="008C341D">
              <w:rPr>
                <w:rFonts w:ascii="Arial" w:hAnsi="Arial" w:cs="Arial"/>
                <w:color w:val="000000"/>
                <w:sz w:val="20"/>
              </w:rPr>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 на соответствие требованиям НД </w:t>
            </w:r>
          </w:p>
          <w:p w:rsidR="002306FD" w:rsidRPr="00A16984" w:rsidRDefault="002306FD" w:rsidP="002306FD">
            <w:pPr>
              <w:pStyle w:val="31"/>
              <w:ind w:firstLine="0"/>
              <w:rPr>
                <w:rFonts w:ascii="Arial" w:hAnsi="Arial" w:cs="Arial"/>
                <w:sz w:val="20"/>
              </w:rPr>
            </w:pPr>
            <w:proofErr w:type="gramStart"/>
            <w:r w:rsidRPr="00A16984">
              <w:rPr>
                <w:rFonts w:ascii="Arial" w:hAnsi="Arial" w:cs="Arial"/>
                <w:sz w:val="20"/>
              </w:rPr>
              <w:t>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деятельности бизнес-сообщества..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roofErr w:type="gramEnd"/>
          </w:p>
          <w:p w:rsidR="00D84548" w:rsidRPr="00E86CB4" w:rsidRDefault="00D84548" w:rsidP="005914F5">
            <w:pPr>
              <w:pStyle w:val="cn"/>
              <w:tabs>
                <w:tab w:val="left" w:pos="993"/>
              </w:tabs>
              <w:ind w:left="32"/>
              <w:jc w:val="both"/>
              <w:rPr>
                <w:rFonts w:ascii="Arial" w:hAnsi="Arial" w:cs="Arial"/>
                <w:sz w:val="18"/>
                <w:szCs w:val="18"/>
                <w:lang w:val="ru-RU"/>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7.4.</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2306FD" w:rsidRPr="00F60157" w:rsidRDefault="002306FD" w:rsidP="002306FD">
            <w:pPr>
              <w:pStyle w:val="ac"/>
              <w:spacing w:before="0" w:after="0"/>
              <w:ind w:firstLine="540"/>
              <w:jc w:val="both"/>
              <w:rPr>
                <w:rFonts w:ascii="Arial" w:hAnsi="Arial" w:cs="Arial"/>
                <w:color w:val="auto"/>
                <w:sz w:val="20"/>
                <w:szCs w:val="20"/>
              </w:rPr>
            </w:pPr>
            <w:r w:rsidRPr="00F60157">
              <w:rPr>
                <w:rFonts w:ascii="Arial" w:hAnsi="Arial" w:cs="Arial"/>
                <w:color w:val="auto"/>
                <w:sz w:val="20"/>
                <w:szCs w:val="20"/>
              </w:rPr>
              <w:t xml:space="preserve">Органы госнадзора при проведении проверок используют основные положения и рекомендации РМГ 113-2010 «Оценка степени риска при планировании госнадзора». </w:t>
            </w:r>
          </w:p>
          <w:p w:rsidR="00D84548" w:rsidRPr="00A16984" w:rsidRDefault="002306FD" w:rsidP="002306FD">
            <w:pPr>
              <w:pStyle w:val="ac"/>
              <w:spacing w:before="0" w:after="0"/>
              <w:jc w:val="both"/>
              <w:rPr>
                <w:rFonts w:ascii="Arial" w:hAnsi="Arial" w:cs="Arial"/>
                <w:sz w:val="18"/>
                <w:szCs w:val="18"/>
              </w:rPr>
            </w:pPr>
            <w:r w:rsidRPr="00F60157">
              <w:rPr>
                <w:rFonts w:ascii="Arial" w:hAnsi="Arial" w:cs="Arial"/>
                <w:color w:val="auto"/>
                <w:sz w:val="20"/>
                <w:szCs w:val="20"/>
              </w:rPr>
              <w:t>РМГ 113-2010 определяют порядок и содержание работ по оценке степени риска при планировании госнадзора</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7.5.</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2306FD" w:rsidP="00290D18">
            <w:pPr>
              <w:jc w:val="both"/>
              <w:rPr>
                <w:rFonts w:ascii="Arial" w:hAnsi="Arial" w:cs="Arial"/>
                <w:sz w:val="18"/>
                <w:szCs w:val="18"/>
              </w:rPr>
            </w:pPr>
            <w:r>
              <w:rPr>
                <w:rFonts w:ascii="Arial" w:hAnsi="Arial" w:cs="Arial"/>
                <w:sz w:val="20"/>
              </w:rPr>
              <w:t>Вносится для рассмотрения на 24 заседании НТКН</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lastRenderedPageBreak/>
              <w:t>7.6.</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2306FD" w:rsidP="00290D18">
            <w:pPr>
              <w:pStyle w:val="12"/>
              <w:autoSpaceDE w:val="0"/>
              <w:autoSpaceDN w:val="0"/>
              <w:adjustRightInd w:val="0"/>
              <w:spacing w:after="0" w:line="240" w:lineRule="auto"/>
              <w:ind w:left="0"/>
              <w:jc w:val="both"/>
              <w:rPr>
                <w:rFonts w:ascii="Arial" w:hAnsi="Arial" w:cs="Arial"/>
                <w:sz w:val="20"/>
              </w:rPr>
            </w:pPr>
            <w:r>
              <w:rPr>
                <w:rFonts w:ascii="Arial" w:hAnsi="Arial" w:cs="Arial"/>
                <w:sz w:val="20"/>
              </w:rPr>
              <w:t>Вносится для рассмотрения на 24 заседании НТКН</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7.7.</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2306FD" w:rsidRPr="00FB073A" w:rsidRDefault="002306FD" w:rsidP="002306FD">
            <w:pPr>
              <w:pStyle w:val="a6"/>
              <w:widowControl w:val="0"/>
              <w:tabs>
                <w:tab w:val="clear" w:pos="4677"/>
                <w:tab w:val="clear" w:pos="9355"/>
                <w:tab w:val="center" w:pos="1134"/>
                <w:tab w:val="center" w:pos="4153"/>
                <w:tab w:val="right" w:pos="8306"/>
              </w:tabs>
              <w:suppressAutoHyphens/>
              <w:snapToGrid w:val="0"/>
              <w:spacing w:before="60" w:after="60"/>
              <w:ind w:left="68"/>
              <w:jc w:val="both"/>
              <w:rPr>
                <w:rFonts w:ascii="Arial" w:hAnsi="Arial" w:cs="Arial"/>
                <w:sz w:val="20"/>
              </w:rPr>
            </w:pPr>
            <w:proofErr w:type="gramStart"/>
            <w:r w:rsidRPr="00FB073A">
              <w:rPr>
                <w:rFonts w:ascii="Arial" w:hAnsi="Arial" w:cs="Arial"/>
                <w:sz w:val="20"/>
              </w:rPr>
              <w:t xml:space="preserve">Продолжается работа по адаптации </w:t>
            </w:r>
            <w:r>
              <w:rPr>
                <w:rFonts w:ascii="Arial" w:hAnsi="Arial" w:cs="Arial"/>
                <w:sz w:val="20"/>
              </w:rPr>
              <w:t xml:space="preserve">созданной </w:t>
            </w:r>
            <w:proofErr w:type="spellStart"/>
            <w:r w:rsidRPr="00FB073A">
              <w:rPr>
                <w:rFonts w:ascii="Arial" w:hAnsi="Arial" w:cs="Arial"/>
                <w:sz w:val="20"/>
              </w:rPr>
              <w:t>Росстандарте</w:t>
            </w:r>
            <w:proofErr w:type="spellEnd"/>
            <w:r w:rsidRPr="00FB073A">
              <w:rPr>
                <w:rFonts w:ascii="Arial" w:hAnsi="Arial" w:cs="Arial"/>
                <w:sz w:val="20"/>
              </w:rPr>
              <w:t xml:space="preserve"> Информационной системы «Опасные товары» для МГС с целью использования системы для оперативного обмена информацией об опасной продукции, выявленной национальными органами надзора государств-участников Соглашения «О проведении согласованной политики в области стандартизации, метрологии и сертификации».</w:t>
            </w:r>
            <w:proofErr w:type="gramEnd"/>
          </w:p>
          <w:p w:rsidR="00D84548" w:rsidRPr="00A16984" w:rsidRDefault="00D84548" w:rsidP="00290D18">
            <w:pPr>
              <w:pStyle w:val="31"/>
              <w:ind w:firstLine="0"/>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7.8.</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2306FD" w:rsidP="005914F5">
            <w:pPr>
              <w:tabs>
                <w:tab w:val="left" w:pos="6024"/>
              </w:tabs>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на заседаниях НТКН</w:t>
            </w: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4A9" w:rsidRDefault="003E74A9">
      <w:r>
        <w:separator/>
      </w:r>
    </w:p>
  </w:endnote>
  <w:endnote w:type="continuationSeparator" w:id="0">
    <w:p w:rsidR="003E74A9" w:rsidRDefault="003E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9B65A7">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9B65A7">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separate"/>
    </w:r>
    <w:r w:rsidR="002556B8">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4A9" w:rsidRDefault="003E74A9">
      <w:r>
        <w:separator/>
      </w:r>
    </w:p>
  </w:footnote>
  <w:footnote w:type="continuationSeparator" w:id="0">
    <w:p w:rsidR="003E74A9" w:rsidRDefault="003E74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6F27"/>
    <w:rsid w:val="00056DF1"/>
    <w:rsid w:val="00062FC5"/>
    <w:rsid w:val="000A1538"/>
    <w:rsid w:val="000E553E"/>
    <w:rsid w:val="000F7B90"/>
    <w:rsid w:val="001947E5"/>
    <w:rsid w:val="001A3A35"/>
    <w:rsid w:val="00217CBB"/>
    <w:rsid w:val="002306FD"/>
    <w:rsid w:val="002475EE"/>
    <w:rsid w:val="002556B8"/>
    <w:rsid w:val="00267C61"/>
    <w:rsid w:val="00290D18"/>
    <w:rsid w:val="002C2998"/>
    <w:rsid w:val="003140A0"/>
    <w:rsid w:val="003567CE"/>
    <w:rsid w:val="003E042F"/>
    <w:rsid w:val="003E74A9"/>
    <w:rsid w:val="00402F86"/>
    <w:rsid w:val="004C1464"/>
    <w:rsid w:val="0052365A"/>
    <w:rsid w:val="00531BF4"/>
    <w:rsid w:val="00532CBA"/>
    <w:rsid w:val="00547B4E"/>
    <w:rsid w:val="00584F5D"/>
    <w:rsid w:val="005914F5"/>
    <w:rsid w:val="00694B11"/>
    <w:rsid w:val="006A5C12"/>
    <w:rsid w:val="00746401"/>
    <w:rsid w:val="00752D79"/>
    <w:rsid w:val="00754403"/>
    <w:rsid w:val="007B3D06"/>
    <w:rsid w:val="007D18A0"/>
    <w:rsid w:val="008452DA"/>
    <w:rsid w:val="0085285C"/>
    <w:rsid w:val="00894F91"/>
    <w:rsid w:val="008976BB"/>
    <w:rsid w:val="008D413F"/>
    <w:rsid w:val="009728D9"/>
    <w:rsid w:val="009B65A7"/>
    <w:rsid w:val="009C4653"/>
    <w:rsid w:val="00A20793"/>
    <w:rsid w:val="00A362BB"/>
    <w:rsid w:val="00AD46FB"/>
    <w:rsid w:val="00AF62DA"/>
    <w:rsid w:val="00B36D05"/>
    <w:rsid w:val="00B60C52"/>
    <w:rsid w:val="00BA13B6"/>
    <w:rsid w:val="00BB0811"/>
    <w:rsid w:val="00C210F1"/>
    <w:rsid w:val="00C955CD"/>
    <w:rsid w:val="00CA7DC6"/>
    <w:rsid w:val="00CE0B73"/>
    <w:rsid w:val="00CE7532"/>
    <w:rsid w:val="00D66F27"/>
    <w:rsid w:val="00D7096C"/>
    <w:rsid w:val="00D84548"/>
    <w:rsid w:val="00D90088"/>
    <w:rsid w:val="00DB7076"/>
    <w:rsid w:val="00E335FE"/>
    <w:rsid w:val="00E36CF8"/>
    <w:rsid w:val="00E83936"/>
    <w:rsid w:val="00E86CB4"/>
    <w:rsid w:val="00EF2CC8"/>
    <w:rsid w:val="00F60157"/>
    <w:rsid w:val="00F96D19"/>
    <w:rsid w:val="00FA19B4"/>
    <w:rsid w:val="00FA4A48"/>
    <w:rsid w:val="00FF0D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Pages>
  <Words>554</Words>
  <Characters>3159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client801_9</cp:lastModifiedBy>
  <cp:revision>36</cp:revision>
  <dcterms:created xsi:type="dcterms:W3CDTF">2015-11-11T06:24:00Z</dcterms:created>
  <dcterms:modified xsi:type="dcterms:W3CDTF">2018-02-23T08:00:00Z</dcterms:modified>
</cp:coreProperties>
</file>